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54638B9" wp14:editId="0E9535D9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3C478BC7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27659F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تیر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14719557" w:rsidR="00FA1D42" w:rsidRPr="003C6401" w:rsidRDefault="00FA1D42" w:rsidP="0049431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شاخص قیمت تولیدکننده بخش برق </w:t>
      </w:r>
      <w:r w:rsidR="00900AD1" w:rsidRPr="00900AD1">
        <w:rPr>
          <w:rFonts w:ascii="Times New Roman" w:eastAsia="Times New Roman" w:hAnsi="Times New Roman" w:cs="B Nazanin"/>
          <w:sz w:val="24"/>
          <w:szCs w:val="24"/>
        </w:rPr>
        <w:t>320.1</w:t>
      </w:r>
      <w:r w:rsidR="00900AD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8A1303">
        <w:rPr>
          <w:rFonts w:ascii="Times New Roman" w:eastAsia="Times New Roman" w:hAnsi="Times New Roman" w:cs="B Nazanin" w:hint="cs"/>
          <w:sz w:val="24"/>
          <w:szCs w:val="24"/>
          <w:rtl/>
        </w:rPr>
        <w:t>0.</w:t>
      </w:r>
      <w:r w:rsidR="00900AD1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4943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310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457B6D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8A1303" w:rsidRPr="008A1303">
        <w:rPr>
          <w:rFonts w:ascii="Times New Roman" w:eastAsia="Times New Roman" w:hAnsi="Times New Roman" w:cs="B Nazanin"/>
          <w:sz w:val="24"/>
          <w:szCs w:val="24"/>
          <w:rtl/>
        </w:rPr>
        <w:t>.7</w:t>
      </w:r>
      <w:r w:rsidR="000749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57B6D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457B6D" w:rsidRPr="00457B6D">
        <w:rPr>
          <w:rFonts w:ascii="Times New Roman" w:eastAsia="Times New Roman" w:hAnsi="Times New Roman" w:cs="B Nazanin"/>
          <w:sz w:val="24"/>
          <w:szCs w:val="24"/>
          <w:rtl/>
        </w:rPr>
        <w:t>27.5</w:t>
      </w:r>
      <w:r w:rsidR="001B778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2DC519B7" w:rsidR="00FA1D42" w:rsidRPr="00AB1F68" w:rsidRDefault="001D406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1CFE53E3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0F5879">
        <w:rPr>
          <w:rFonts w:ascii="Times New Roman" w:eastAsia="Times New Roman" w:hAnsi="Times New Roman" w:cs="B Nazanin" w:hint="cs"/>
          <w:sz w:val="24"/>
          <w:szCs w:val="24"/>
          <w:rtl/>
        </w:rPr>
        <w:t>0.</w:t>
      </w:r>
      <w:r w:rsidR="00DE11A0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73386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220905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0F587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20905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0F5879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0A13C3" w:rsidRPr="000A13C3">
        <w:rPr>
          <w:rFonts w:ascii="Times New Roman" w:eastAsia="Times New Roman" w:hAnsi="Times New Roman" w:cs="B Nazanin"/>
          <w:sz w:val="24"/>
          <w:szCs w:val="24"/>
          <w:rtl/>
        </w:rPr>
        <w:t>0.5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623262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20ABA">
        <w:rPr>
          <w:rFonts w:ascii="Times New Roman" w:eastAsia="Times New Roman" w:hAnsi="Times New Roman" w:cs="B Nazanin" w:hint="cs"/>
          <w:sz w:val="24"/>
          <w:szCs w:val="24"/>
          <w:rtl/>
        </w:rPr>
        <w:t>0.1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</w:t>
      </w:r>
      <w:r w:rsidR="003A6373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13AC6" w:rsidRPr="00B13AC6">
        <w:rPr>
          <w:rFonts w:ascii="Times New Roman" w:eastAsia="Times New Roman" w:hAnsi="Times New Roman" w:cs="B Nazanin"/>
          <w:sz w:val="24"/>
          <w:szCs w:val="24"/>
          <w:rtl/>
        </w:rPr>
        <w:t>0.2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955C6">
        <w:rPr>
          <w:rFonts w:ascii="Times New Roman" w:eastAsia="Times New Roman" w:hAnsi="Times New Roman" w:cs="B Nazanin" w:hint="cs"/>
          <w:sz w:val="24"/>
          <w:szCs w:val="24"/>
          <w:rtl/>
        </w:rPr>
        <w:t>0.</w:t>
      </w:r>
      <w:r w:rsidR="00B13AC6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D955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B744C">
        <w:rPr>
          <w:rFonts w:ascii="Times New Roman" w:eastAsia="Times New Roman" w:hAnsi="Times New Roman" w:cs="B Nazanin" w:hint="cs"/>
          <w:sz w:val="24"/>
          <w:szCs w:val="24"/>
          <w:rtl/>
        </w:rPr>
        <w:t>صفر</w:t>
      </w:r>
      <w:r w:rsidR="00B13A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386AB4C4" w:rsidR="00FA1D42" w:rsidRPr="00AB1F68" w:rsidRDefault="00A06033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6B441514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BE3FE0" w:rsidRPr="00BE3FE0">
        <w:rPr>
          <w:rFonts w:ascii="Times New Roman" w:eastAsia="Times New Roman" w:hAnsi="Times New Roman" w:cs="B Nazanin"/>
          <w:sz w:val="24"/>
          <w:szCs w:val="24"/>
          <w:rtl/>
        </w:rPr>
        <w:t>3.7</w:t>
      </w:r>
      <w:r w:rsidR="00BE3FE0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074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A06033" w:rsidRPr="00A06033">
        <w:rPr>
          <w:rFonts w:ascii="Times New Roman" w:eastAsia="Times New Roman" w:hAnsi="Times New Roman" w:cs="B Nazanin"/>
          <w:sz w:val="24"/>
          <w:szCs w:val="24"/>
          <w:rtl/>
        </w:rPr>
        <w:t>5.7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A060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9.4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D30424">
        <w:rPr>
          <w:rFonts w:ascii="Times New Roman" w:eastAsia="Times New Roman" w:hAnsi="Times New Roman" w:cs="B Nazanin" w:hint="cs"/>
          <w:sz w:val="24"/>
          <w:szCs w:val="24"/>
          <w:rtl/>
        </w:rPr>
        <w:t>.7</w:t>
      </w:r>
      <w:r w:rsidR="008A5CC7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5.3-</w:t>
      </w:r>
      <w:r w:rsidR="005B744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5.1-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B744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0.3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1652019B" w:rsidR="00FA1D42" w:rsidRPr="00AB1F68" w:rsidRDefault="0093117B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32807895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E526B" w:rsidRPr="005E526B">
        <w:rPr>
          <w:rFonts w:ascii="Times New Roman" w:eastAsia="Times New Roman" w:hAnsi="Times New Roman" w:cs="B Nazanin"/>
          <w:sz w:val="24"/>
          <w:szCs w:val="24"/>
          <w:rtl/>
        </w:rPr>
        <w:t>27.5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5E526B" w:rsidRPr="005E526B">
        <w:rPr>
          <w:rFonts w:ascii="Times New Roman" w:eastAsia="Times New Roman" w:hAnsi="Times New Roman" w:cs="B Nazanin"/>
          <w:sz w:val="24"/>
          <w:szCs w:val="24"/>
          <w:rtl/>
        </w:rPr>
        <w:t>34.1</w:t>
      </w:r>
      <w:r w:rsidR="005E526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5E526B">
        <w:rPr>
          <w:rFonts w:ascii="Times New Roman" w:eastAsia="Times New Roman" w:hAnsi="Times New Roman" w:cs="B Nazanin" w:hint="cs"/>
          <w:sz w:val="24"/>
          <w:szCs w:val="24"/>
          <w:rtl/>
        </w:rPr>
        <w:t>6.6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D21B74" w:rsidRPr="005E526B">
        <w:rPr>
          <w:rFonts w:ascii="Times New Roman" w:eastAsia="Times New Roman" w:hAnsi="Times New Roman" w:cs="B Nazanin"/>
          <w:sz w:val="24"/>
          <w:szCs w:val="24"/>
          <w:rtl/>
        </w:rPr>
        <w:t>27.5</w:t>
      </w:r>
      <w:r w:rsidR="00D21B7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80D27">
        <w:rPr>
          <w:rFonts w:ascii="Times New Roman" w:eastAsia="Times New Roman" w:hAnsi="Times New Roman" w:cs="B Nazanin" w:hint="cs"/>
          <w:sz w:val="24"/>
          <w:szCs w:val="24"/>
          <w:rtl/>
        </w:rPr>
        <w:t>تیر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CC090F" w:rsidRPr="00CC090F">
        <w:rPr>
          <w:rFonts w:ascii="Times New Roman" w:eastAsia="Times New Roman" w:hAnsi="Times New Roman" w:cs="B Nazanin"/>
          <w:sz w:val="24"/>
          <w:szCs w:val="24"/>
          <w:rtl/>
        </w:rPr>
        <w:t>26.6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C090F" w:rsidRPr="00CC090F">
        <w:rPr>
          <w:rFonts w:ascii="Times New Roman" w:eastAsia="Times New Roman" w:hAnsi="Times New Roman" w:cs="B Nazanin"/>
          <w:sz w:val="24"/>
          <w:szCs w:val="24"/>
          <w:rtl/>
        </w:rPr>
        <w:t>26.7</w:t>
      </w:r>
      <w:r w:rsidR="00CC09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CC090F" w:rsidRPr="00CC090F">
        <w:rPr>
          <w:rFonts w:ascii="Times New Roman" w:eastAsia="Times New Roman" w:hAnsi="Times New Roman" w:cs="B Nazanin"/>
          <w:sz w:val="24"/>
          <w:szCs w:val="24"/>
          <w:rtl/>
        </w:rPr>
        <w:t>29.9</w:t>
      </w:r>
      <w:r w:rsidR="00CC09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059ECA3E" w14:textId="37C16565" w:rsidR="00DE4BB2" w:rsidRDefault="00DE4BB2" w:rsidP="00DE4BB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15BA85D" w14:textId="77777777" w:rsidR="00DE4BB2" w:rsidRDefault="00DE4BB2" w:rsidP="00DE4BB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051B63" w:rsidRPr="00C01268" w14:paraId="01702F3E" w14:textId="77777777" w:rsidTr="006434A4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6DA17989" w14:textId="77777777" w:rsidR="00051B63" w:rsidRPr="00C01268" w:rsidRDefault="00051B63" w:rsidP="006434A4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6C07C5F" w14:textId="77777777" w:rsidR="00051B63" w:rsidRPr="00C01268" w:rsidRDefault="00051B63" w:rsidP="006434A4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051B63" w:rsidRPr="00C01268" w14:paraId="26FE8CA0" w14:textId="77777777" w:rsidTr="006434A4">
        <w:trPr>
          <w:trHeight w:val="409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1121F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CBC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825B3" w14:textId="2DE12CCD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E4BB2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تیر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0FDB" w14:textId="7243D95E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984EB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تیر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C1781" w14:textId="5196C4B8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984EB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خرداد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051B63" w:rsidRPr="00C01268" w14:paraId="5A86F10F" w14:textId="77777777" w:rsidTr="006434A4">
        <w:trPr>
          <w:trHeight w:val="799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5AB06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EB0EF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4B6C406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61E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1DE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ABC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D60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81D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C8DB03" w14:textId="77777777" w:rsidR="00051B63" w:rsidRPr="00C01268" w:rsidRDefault="00051B63" w:rsidP="006434A4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051B63" w:rsidRPr="00C01268" w14:paraId="6696752F" w14:textId="77777777" w:rsidTr="000012EF">
        <w:trPr>
          <w:trHeight w:val="465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5DAA6AB" w14:textId="77777777" w:rsidR="00051B63" w:rsidRPr="00C01268" w:rsidRDefault="00051B63" w:rsidP="00051B63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303895E9" w14:textId="759B99A1" w:rsidR="00051B63" w:rsidRPr="00235B9F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D06F" w14:textId="579E2364" w:rsidR="00051B63" w:rsidRPr="00235B9F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320.1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DC0F" w14:textId="425B4999" w:rsidR="00051B63" w:rsidRPr="00573056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0BF5" w14:textId="3B8564ED" w:rsidR="00051B63" w:rsidRPr="00801520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18E0C" w14:textId="7A1AAD23" w:rsidR="00051B63" w:rsidRPr="00801520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263F" w14:textId="45CCD0DD" w:rsidR="00051B63" w:rsidRPr="00801520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0817" w14:textId="02E82ECC" w:rsidR="00051B63" w:rsidRPr="00801520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45F4" w14:textId="6C106782" w:rsidR="00051B63" w:rsidRPr="00801520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34.1</w:t>
            </w:r>
          </w:p>
        </w:tc>
      </w:tr>
      <w:tr w:rsidR="00051B63" w:rsidRPr="00C01268" w14:paraId="36022B82" w14:textId="77777777" w:rsidTr="000012EF">
        <w:trPr>
          <w:trHeight w:val="3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51A7A38" w14:textId="77777777" w:rsidR="00051B63" w:rsidRPr="00C01268" w:rsidRDefault="00051B63" w:rsidP="00051B63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3CF90A2" w14:textId="11D66CA7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6BF8" w14:textId="72C1EEE6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314.6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F01E" w14:textId="5CBC034C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A5BC" w14:textId="6AB50492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FA6F" w14:textId="0A957036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45B3" w14:textId="39804801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2A18C" w14:textId="7068FC27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3035" w14:textId="058601F3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33.4</w:t>
            </w:r>
          </w:p>
        </w:tc>
      </w:tr>
      <w:tr w:rsidR="00051B63" w:rsidRPr="00C01268" w14:paraId="09794EAF" w14:textId="77777777" w:rsidTr="000012EF">
        <w:trPr>
          <w:trHeight w:val="465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C4BF44B" w14:textId="77777777" w:rsidR="00051B63" w:rsidRPr="00C01268" w:rsidRDefault="00051B63" w:rsidP="00051B63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8E7A175" w14:textId="4A6E2DD8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F8E5" w14:textId="0DBB27E1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322.8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388A" w14:textId="6BD58A8C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EDAE" w14:textId="45D0A79E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-5.1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2D77" w14:textId="5649F970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EE71" w14:textId="0055D6A6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5870" w14:textId="56F243BE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B666" w14:textId="3BECE836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33.7</w:t>
            </w:r>
          </w:p>
        </w:tc>
      </w:tr>
      <w:tr w:rsidR="00051B63" w:rsidRPr="00C01268" w14:paraId="50663FD5" w14:textId="77777777" w:rsidTr="000012EF">
        <w:trPr>
          <w:trHeight w:val="465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DCC4B12" w14:textId="77777777" w:rsidR="00051B63" w:rsidRPr="00C01268" w:rsidRDefault="00051B63" w:rsidP="00051B63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168AD8E" w14:textId="18C19B14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D70D61" w14:textId="47FCF03B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318.8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029388C" w14:textId="367BF7F4" w:rsidR="00051B63" w:rsidRPr="00051B63" w:rsidRDefault="00CC5D61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color w:val="000000"/>
                <w:sz w:val="20"/>
                <w:szCs w:val="20"/>
                <w:rtl/>
              </w:rPr>
              <w:t>0.0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86B4BCA" w14:textId="42C6DA27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7478B2E" w14:textId="1B28C8F6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EB334DC" w14:textId="7F131E70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BFFAAE5" w14:textId="25749707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A4BFE43" w14:textId="22DECEF5" w:rsidR="00051B63" w:rsidRPr="00051B63" w:rsidRDefault="00051B63" w:rsidP="00051B6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051B63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35.5</w:t>
            </w:r>
          </w:p>
        </w:tc>
      </w:tr>
    </w:tbl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3CE5300B" w:rsidR="007356D4" w:rsidRDefault="00665E67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  <w:r w:rsidR="0018708A">
        <w:rPr>
          <w:noProof/>
        </w:rPr>
        <w:drawing>
          <wp:anchor distT="0" distB="0" distL="114300" distR="114300" simplePos="0" relativeHeight="251655168" behindDoc="0" locked="0" layoutInCell="1" allowOverlap="1" wp14:anchorId="0F1A7AEF" wp14:editId="52B696DD">
            <wp:simplePos x="0" y="0"/>
            <wp:positionH relativeFrom="column">
              <wp:posOffset>0</wp:posOffset>
            </wp:positionH>
            <wp:positionV relativeFrom="paragraph">
              <wp:posOffset>837593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28C900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382B715" w14:textId="11EBB4F3" w:rsidR="0018708A" w:rsidRPr="0018708A" w:rsidRDefault="00665E67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6AC8BB2" wp14:editId="7F50113C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D6A97" wp14:editId="4813F4BD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4616" w14:textId="77777777" w:rsidR="00665E67" w:rsidRDefault="00665E67" w:rsidP="00A520E9">
      <w:pPr>
        <w:spacing w:after="0" w:line="240" w:lineRule="auto"/>
      </w:pPr>
      <w:r>
        <w:separator/>
      </w:r>
    </w:p>
  </w:endnote>
  <w:endnote w:type="continuationSeparator" w:id="0">
    <w:p w14:paraId="3DAB472C" w14:textId="77777777" w:rsidR="00665E67" w:rsidRDefault="00665E67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82FC" w14:textId="77777777" w:rsidR="00665E67" w:rsidRDefault="00665E67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0EC92E69" w14:textId="77777777" w:rsidR="00665E67" w:rsidRDefault="00665E67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40808"/>
    <w:rsid w:val="00042AE4"/>
    <w:rsid w:val="00047E48"/>
    <w:rsid w:val="000501C1"/>
    <w:rsid w:val="000515C2"/>
    <w:rsid w:val="00051B63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84DC4"/>
    <w:rsid w:val="00091430"/>
    <w:rsid w:val="00091CAC"/>
    <w:rsid w:val="000A0CA4"/>
    <w:rsid w:val="000A13C3"/>
    <w:rsid w:val="000A229C"/>
    <w:rsid w:val="000A5894"/>
    <w:rsid w:val="000B246E"/>
    <w:rsid w:val="000C4BC8"/>
    <w:rsid w:val="000D04ED"/>
    <w:rsid w:val="000D33C4"/>
    <w:rsid w:val="000D6DE0"/>
    <w:rsid w:val="000E17D2"/>
    <w:rsid w:val="000E4087"/>
    <w:rsid w:val="000E7A29"/>
    <w:rsid w:val="000E7FBF"/>
    <w:rsid w:val="000F1004"/>
    <w:rsid w:val="000F5879"/>
    <w:rsid w:val="000F5E1C"/>
    <w:rsid w:val="000F5FED"/>
    <w:rsid w:val="0011105C"/>
    <w:rsid w:val="00122D33"/>
    <w:rsid w:val="00123968"/>
    <w:rsid w:val="00132464"/>
    <w:rsid w:val="00136564"/>
    <w:rsid w:val="00157539"/>
    <w:rsid w:val="001601EC"/>
    <w:rsid w:val="00160808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F56CD"/>
    <w:rsid w:val="001F57AF"/>
    <w:rsid w:val="0020068B"/>
    <w:rsid w:val="002041AF"/>
    <w:rsid w:val="002160A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59F"/>
    <w:rsid w:val="00285BA9"/>
    <w:rsid w:val="00292973"/>
    <w:rsid w:val="00297070"/>
    <w:rsid w:val="002A56C1"/>
    <w:rsid w:val="002B13B1"/>
    <w:rsid w:val="002B4ACC"/>
    <w:rsid w:val="002B5B1E"/>
    <w:rsid w:val="002C7E0C"/>
    <w:rsid w:val="002F1DA4"/>
    <w:rsid w:val="002F39CD"/>
    <w:rsid w:val="002F4D60"/>
    <w:rsid w:val="00304753"/>
    <w:rsid w:val="00312EC2"/>
    <w:rsid w:val="00315740"/>
    <w:rsid w:val="00322396"/>
    <w:rsid w:val="003239D8"/>
    <w:rsid w:val="00332205"/>
    <w:rsid w:val="00337037"/>
    <w:rsid w:val="00337D63"/>
    <w:rsid w:val="00340222"/>
    <w:rsid w:val="00344E2D"/>
    <w:rsid w:val="00345460"/>
    <w:rsid w:val="00346249"/>
    <w:rsid w:val="0035411F"/>
    <w:rsid w:val="00355C06"/>
    <w:rsid w:val="00362802"/>
    <w:rsid w:val="003679E8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C33"/>
    <w:rsid w:val="00403E9E"/>
    <w:rsid w:val="0042044E"/>
    <w:rsid w:val="00424C1C"/>
    <w:rsid w:val="00424E8D"/>
    <w:rsid w:val="00430259"/>
    <w:rsid w:val="00435C1F"/>
    <w:rsid w:val="00445CDE"/>
    <w:rsid w:val="00452663"/>
    <w:rsid w:val="00457833"/>
    <w:rsid w:val="00457B6D"/>
    <w:rsid w:val="00460220"/>
    <w:rsid w:val="00463863"/>
    <w:rsid w:val="00463F20"/>
    <w:rsid w:val="00471D02"/>
    <w:rsid w:val="00472F63"/>
    <w:rsid w:val="00474112"/>
    <w:rsid w:val="00475CE0"/>
    <w:rsid w:val="00476B7C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44D4"/>
    <w:rsid w:val="004D6205"/>
    <w:rsid w:val="004D642D"/>
    <w:rsid w:val="004E0092"/>
    <w:rsid w:val="004E435F"/>
    <w:rsid w:val="004F0B97"/>
    <w:rsid w:val="004F3CC7"/>
    <w:rsid w:val="004F6C39"/>
    <w:rsid w:val="00501504"/>
    <w:rsid w:val="00511F95"/>
    <w:rsid w:val="00517D1F"/>
    <w:rsid w:val="0052132F"/>
    <w:rsid w:val="005239F6"/>
    <w:rsid w:val="00537C9A"/>
    <w:rsid w:val="005431C4"/>
    <w:rsid w:val="00544ABA"/>
    <w:rsid w:val="00556B43"/>
    <w:rsid w:val="005638E8"/>
    <w:rsid w:val="005646A6"/>
    <w:rsid w:val="005659CB"/>
    <w:rsid w:val="00571C86"/>
    <w:rsid w:val="00573056"/>
    <w:rsid w:val="005760D0"/>
    <w:rsid w:val="00576F45"/>
    <w:rsid w:val="0058409A"/>
    <w:rsid w:val="0059116A"/>
    <w:rsid w:val="005A4CED"/>
    <w:rsid w:val="005B14D2"/>
    <w:rsid w:val="005B744C"/>
    <w:rsid w:val="005C2251"/>
    <w:rsid w:val="005C5BE9"/>
    <w:rsid w:val="005D0261"/>
    <w:rsid w:val="005E526B"/>
    <w:rsid w:val="005E680C"/>
    <w:rsid w:val="00602973"/>
    <w:rsid w:val="00604D7D"/>
    <w:rsid w:val="00606F2D"/>
    <w:rsid w:val="0062019E"/>
    <w:rsid w:val="00623262"/>
    <w:rsid w:val="00624FB8"/>
    <w:rsid w:val="00627BD5"/>
    <w:rsid w:val="00632B56"/>
    <w:rsid w:val="00640AE1"/>
    <w:rsid w:val="0064138A"/>
    <w:rsid w:val="00641EE6"/>
    <w:rsid w:val="00642A97"/>
    <w:rsid w:val="00643BA0"/>
    <w:rsid w:val="00644BC0"/>
    <w:rsid w:val="006546DC"/>
    <w:rsid w:val="00657594"/>
    <w:rsid w:val="00661C32"/>
    <w:rsid w:val="00665E67"/>
    <w:rsid w:val="00670C47"/>
    <w:rsid w:val="00670CA7"/>
    <w:rsid w:val="006757D6"/>
    <w:rsid w:val="00676D9A"/>
    <w:rsid w:val="0068502F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F7D93"/>
    <w:rsid w:val="00700AEC"/>
    <w:rsid w:val="007015E5"/>
    <w:rsid w:val="00717094"/>
    <w:rsid w:val="00717186"/>
    <w:rsid w:val="00724A35"/>
    <w:rsid w:val="00726FB0"/>
    <w:rsid w:val="00730940"/>
    <w:rsid w:val="00733867"/>
    <w:rsid w:val="007356D4"/>
    <w:rsid w:val="00741E9B"/>
    <w:rsid w:val="00743C72"/>
    <w:rsid w:val="00747CC7"/>
    <w:rsid w:val="007547F6"/>
    <w:rsid w:val="007624DF"/>
    <w:rsid w:val="00767683"/>
    <w:rsid w:val="00782B94"/>
    <w:rsid w:val="00784891"/>
    <w:rsid w:val="00794381"/>
    <w:rsid w:val="007958B0"/>
    <w:rsid w:val="00796828"/>
    <w:rsid w:val="007A383D"/>
    <w:rsid w:val="007B49A7"/>
    <w:rsid w:val="007C08B7"/>
    <w:rsid w:val="007C0A30"/>
    <w:rsid w:val="007C2702"/>
    <w:rsid w:val="007D0A47"/>
    <w:rsid w:val="007D2A51"/>
    <w:rsid w:val="007E3467"/>
    <w:rsid w:val="007E58BF"/>
    <w:rsid w:val="007E6A1F"/>
    <w:rsid w:val="007E77CD"/>
    <w:rsid w:val="007F270B"/>
    <w:rsid w:val="00802169"/>
    <w:rsid w:val="00802415"/>
    <w:rsid w:val="008122C6"/>
    <w:rsid w:val="00815400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635"/>
    <w:rsid w:val="0088308E"/>
    <w:rsid w:val="008863A3"/>
    <w:rsid w:val="008A1303"/>
    <w:rsid w:val="008A3F96"/>
    <w:rsid w:val="008A5CC7"/>
    <w:rsid w:val="008A7BC1"/>
    <w:rsid w:val="008C2C64"/>
    <w:rsid w:val="008C4126"/>
    <w:rsid w:val="008E3C55"/>
    <w:rsid w:val="008E7D52"/>
    <w:rsid w:val="008F6A34"/>
    <w:rsid w:val="00900AD1"/>
    <w:rsid w:val="0090125D"/>
    <w:rsid w:val="0090484D"/>
    <w:rsid w:val="00923AC2"/>
    <w:rsid w:val="009251C3"/>
    <w:rsid w:val="0093117B"/>
    <w:rsid w:val="00931B4E"/>
    <w:rsid w:val="00933CDB"/>
    <w:rsid w:val="00934BE8"/>
    <w:rsid w:val="00941A0B"/>
    <w:rsid w:val="00942145"/>
    <w:rsid w:val="00950B34"/>
    <w:rsid w:val="009539F1"/>
    <w:rsid w:val="00955035"/>
    <w:rsid w:val="00956569"/>
    <w:rsid w:val="009707A6"/>
    <w:rsid w:val="00981A28"/>
    <w:rsid w:val="009827F5"/>
    <w:rsid w:val="00984EB8"/>
    <w:rsid w:val="00993236"/>
    <w:rsid w:val="009977DD"/>
    <w:rsid w:val="00997F22"/>
    <w:rsid w:val="009B5BF8"/>
    <w:rsid w:val="009C0A50"/>
    <w:rsid w:val="009C16E8"/>
    <w:rsid w:val="009D6952"/>
    <w:rsid w:val="009E5B2C"/>
    <w:rsid w:val="009E7C0E"/>
    <w:rsid w:val="009F4C0B"/>
    <w:rsid w:val="00A01CBE"/>
    <w:rsid w:val="00A02D86"/>
    <w:rsid w:val="00A06033"/>
    <w:rsid w:val="00A06E2B"/>
    <w:rsid w:val="00A1244A"/>
    <w:rsid w:val="00A302A4"/>
    <w:rsid w:val="00A37A31"/>
    <w:rsid w:val="00A51F29"/>
    <w:rsid w:val="00A520E9"/>
    <w:rsid w:val="00A52609"/>
    <w:rsid w:val="00A62B68"/>
    <w:rsid w:val="00A62FED"/>
    <w:rsid w:val="00A67F5C"/>
    <w:rsid w:val="00A7349A"/>
    <w:rsid w:val="00A736C8"/>
    <w:rsid w:val="00A91E21"/>
    <w:rsid w:val="00AA34B1"/>
    <w:rsid w:val="00AB1E44"/>
    <w:rsid w:val="00AB32AB"/>
    <w:rsid w:val="00AB64BE"/>
    <w:rsid w:val="00AB7F72"/>
    <w:rsid w:val="00AC5311"/>
    <w:rsid w:val="00AD78F9"/>
    <w:rsid w:val="00AE577E"/>
    <w:rsid w:val="00AE73CA"/>
    <w:rsid w:val="00AF631C"/>
    <w:rsid w:val="00AF77CA"/>
    <w:rsid w:val="00B1223F"/>
    <w:rsid w:val="00B1254C"/>
    <w:rsid w:val="00B13AC6"/>
    <w:rsid w:val="00B22D74"/>
    <w:rsid w:val="00B25788"/>
    <w:rsid w:val="00B26524"/>
    <w:rsid w:val="00B36EB1"/>
    <w:rsid w:val="00B41E6D"/>
    <w:rsid w:val="00B4299D"/>
    <w:rsid w:val="00B439BB"/>
    <w:rsid w:val="00B66F19"/>
    <w:rsid w:val="00B746EB"/>
    <w:rsid w:val="00B82DC1"/>
    <w:rsid w:val="00B83BBD"/>
    <w:rsid w:val="00B85BDC"/>
    <w:rsid w:val="00B93991"/>
    <w:rsid w:val="00B9485C"/>
    <w:rsid w:val="00B97D77"/>
    <w:rsid w:val="00BA4D14"/>
    <w:rsid w:val="00BB2682"/>
    <w:rsid w:val="00BB6F7B"/>
    <w:rsid w:val="00BD2DA5"/>
    <w:rsid w:val="00BD350E"/>
    <w:rsid w:val="00BD418A"/>
    <w:rsid w:val="00BE3FE0"/>
    <w:rsid w:val="00BE48A0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7677"/>
    <w:rsid w:val="00C53344"/>
    <w:rsid w:val="00C7269F"/>
    <w:rsid w:val="00C80D27"/>
    <w:rsid w:val="00CA03E9"/>
    <w:rsid w:val="00CA0AAB"/>
    <w:rsid w:val="00CA18C3"/>
    <w:rsid w:val="00CA2277"/>
    <w:rsid w:val="00CA2F81"/>
    <w:rsid w:val="00CB1870"/>
    <w:rsid w:val="00CB18CA"/>
    <w:rsid w:val="00CB7E8A"/>
    <w:rsid w:val="00CC090F"/>
    <w:rsid w:val="00CC5D61"/>
    <w:rsid w:val="00CE1A22"/>
    <w:rsid w:val="00CE3563"/>
    <w:rsid w:val="00CE4DC8"/>
    <w:rsid w:val="00CF3108"/>
    <w:rsid w:val="00CF5812"/>
    <w:rsid w:val="00D01432"/>
    <w:rsid w:val="00D0740B"/>
    <w:rsid w:val="00D10856"/>
    <w:rsid w:val="00D11B1B"/>
    <w:rsid w:val="00D21B74"/>
    <w:rsid w:val="00D22AD7"/>
    <w:rsid w:val="00D23D1B"/>
    <w:rsid w:val="00D30424"/>
    <w:rsid w:val="00D31F3E"/>
    <w:rsid w:val="00D35F76"/>
    <w:rsid w:val="00D36476"/>
    <w:rsid w:val="00D429EE"/>
    <w:rsid w:val="00D44192"/>
    <w:rsid w:val="00D4475E"/>
    <w:rsid w:val="00D44E96"/>
    <w:rsid w:val="00D616EA"/>
    <w:rsid w:val="00D63AF6"/>
    <w:rsid w:val="00D64399"/>
    <w:rsid w:val="00D64657"/>
    <w:rsid w:val="00D75326"/>
    <w:rsid w:val="00D76CB6"/>
    <w:rsid w:val="00D81240"/>
    <w:rsid w:val="00D82790"/>
    <w:rsid w:val="00D84193"/>
    <w:rsid w:val="00D955C6"/>
    <w:rsid w:val="00D96268"/>
    <w:rsid w:val="00DA2014"/>
    <w:rsid w:val="00DB63B1"/>
    <w:rsid w:val="00DB7B2C"/>
    <w:rsid w:val="00DC4344"/>
    <w:rsid w:val="00DC70AD"/>
    <w:rsid w:val="00DD36D6"/>
    <w:rsid w:val="00DE11A0"/>
    <w:rsid w:val="00DE4BB2"/>
    <w:rsid w:val="00DE53F0"/>
    <w:rsid w:val="00DF1AFB"/>
    <w:rsid w:val="00DF2CDA"/>
    <w:rsid w:val="00DF3B73"/>
    <w:rsid w:val="00DF3EDE"/>
    <w:rsid w:val="00DF4B37"/>
    <w:rsid w:val="00E0159A"/>
    <w:rsid w:val="00E05BF7"/>
    <w:rsid w:val="00E15DB9"/>
    <w:rsid w:val="00E20613"/>
    <w:rsid w:val="00E264E5"/>
    <w:rsid w:val="00E318EB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253E"/>
    <w:rsid w:val="00E63BE5"/>
    <w:rsid w:val="00E72D49"/>
    <w:rsid w:val="00E731FA"/>
    <w:rsid w:val="00E73ED3"/>
    <w:rsid w:val="00E80832"/>
    <w:rsid w:val="00E83670"/>
    <w:rsid w:val="00E86618"/>
    <w:rsid w:val="00E940AD"/>
    <w:rsid w:val="00EA23AB"/>
    <w:rsid w:val="00EC1B26"/>
    <w:rsid w:val="00EC73DC"/>
    <w:rsid w:val="00EC7DA6"/>
    <w:rsid w:val="00ED13A6"/>
    <w:rsid w:val="00EE03F3"/>
    <w:rsid w:val="00EF2BC0"/>
    <w:rsid w:val="00EF39E0"/>
    <w:rsid w:val="00EF5ACA"/>
    <w:rsid w:val="00F0374C"/>
    <w:rsid w:val="00F039E6"/>
    <w:rsid w:val="00F05A5C"/>
    <w:rsid w:val="00F14153"/>
    <w:rsid w:val="00F17CB1"/>
    <w:rsid w:val="00F24301"/>
    <w:rsid w:val="00F307ED"/>
    <w:rsid w:val="00F30F59"/>
    <w:rsid w:val="00F47FE9"/>
    <w:rsid w:val="00F55BB9"/>
    <w:rsid w:val="00F568FB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A1D42"/>
    <w:rsid w:val="00FA2B3F"/>
    <w:rsid w:val="00FA3B9B"/>
    <w:rsid w:val="00FB39AA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87587034945"/>
          <c:y val="1.491926318052896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20421865868E-2"/>
          <c:y val="0.1370405793516648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تیر1403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-7.8172849014562201E-2</c:v>
                </c:pt>
                <c:pt idx="1">
                  <c:v>0.21875017520146417</c:v>
                </c:pt>
                <c:pt idx="2">
                  <c:v>-0.23803650997377618</c:v>
                </c:pt>
                <c:pt idx="3">
                  <c:v>2.7221183646208486E-2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-0.56551416611171423</c:v>
                </c:pt>
                <c:pt idx="1">
                  <c:v>0.10207452253271716</c:v>
                </c:pt>
                <c:pt idx="2">
                  <c:v>-0.4137157143991903</c:v>
                </c:pt>
                <c:pt idx="3">
                  <c:v>-1.2817215356873761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تیر1403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-3.6660840650658617</c:v>
                </c:pt>
                <c:pt idx="1">
                  <c:v>-5.3431953079310137</c:v>
                </c:pt>
                <c:pt idx="2">
                  <c:v>-5.0690127919545596</c:v>
                </c:pt>
                <c:pt idx="3">
                  <c:v>0.28586480969499584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5.7220725979686557</c:v>
                </c:pt>
                <c:pt idx="1">
                  <c:v>0.98622669378083483</c:v>
                </c:pt>
                <c:pt idx="2">
                  <c:v>3.9201902154863224</c:v>
                </c:pt>
                <c:pt idx="3">
                  <c:v>12.887199566157209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تیر1403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27.537628818137389</c:v>
                </c:pt>
                <c:pt idx="1">
                  <c:v>26.571846484047473</c:v>
                </c:pt>
                <c:pt idx="2">
                  <c:v>26.663013287754609</c:v>
                </c:pt>
                <c:pt idx="3">
                  <c:v>29.949046870693504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خرداد1403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34.131238210994709</c:v>
                </c:pt>
                <c:pt idx="1">
                  <c:v>33.429118113889729</c:v>
                </c:pt>
                <c:pt idx="2">
                  <c:v>33.693311517409086</c:v>
                </c:pt>
                <c:pt idx="3">
                  <c:v>35.481901670308979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2024-08-18T10:34:00Z</cp:lastPrinted>
  <dcterms:created xsi:type="dcterms:W3CDTF">2022-08-06T07:53:00Z</dcterms:created>
  <dcterms:modified xsi:type="dcterms:W3CDTF">2024-08-18T10:58:00Z</dcterms:modified>
</cp:coreProperties>
</file>