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1" locked="0" layoutInCell="1" allowOverlap="1" wp14:anchorId="454638B9" wp14:editId="68155653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3D5FD11B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دی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59B54065" w:rsidR="00FA1D42" w:rsidRPr="003C6401" w:rsidRDefault="00FA1D42" w:rsidP="00BC7E3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 شاخص قیمت تولیدکننده بخش برق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431.1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6.2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37.1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BC7E32">
        <w:rPr>
          <w:rFonts w:ascii="Times New Roman" w:eastAsia="Times New Roman" w:hAnsi="Times New Roman" w:cs="B Nazanin" w:hint="cs"/>
          <w:sz w:val="24"/>
          <w:szCs w:val="24"/>
          <w:rtl/>
        </w:rPr>
        <w:t>15.2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3D99AA6E" w:rsidR="00FA1D42" w:rsidRPr="00AB1F68" w:rsidRDefault="00A11DDE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32087B00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6.2-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30.6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36.8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6.2</w:t>
      </w:r>
      <w:r w:rsidR="00BE6C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4.1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4.3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B7362">
        <w:rPr>
          <w:rFonts w:ascii="Times New Roman" w:eastAsia="Times New Roman" w:hAnsi="Times New Roman" w:cs="B Nazanin" w:hint="cs"/>
          <w:sz w:val="24"/>
          <w:szCs w:val="24"/>
          <w:rtl/>
        </w:rPr>
        <w:t>11.9</w:t>
      </w:r>
      <w:r w:rsidR="00EB7362" w:rsidRPr="00B2065A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134F0A48" w:rsidR="00FA1D42" w:rsidRPr="00AB1F68" w:rsidRDefault="00A11DDE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کاهش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10395906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37.1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48.6</w:t>
      </w:r>
      <w:r w:rsidR="008B36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A11DDE">
        <w:rPr>
          <w:rFonts w:ascii="Times New Roman" w:eastAsia="Times New Roman" w:hAnsi="Times New Roman" w:cs="B Nazanin" w:hint="cs"/>
          <w:sz w:val="24"/>
          <w:szCs w:val="24"/>
          <w:rtl/>
        </w:rPr>
        <w:t>11.5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413518">
        <w:rPr>
          <w:rFonts w:ascii="Times New Roman" w:eastAsia="Times New Roman" w:hAnsi="Times New Roman" w:cs="B Nazanin" w:hint="cs"/>
          <w:sz w:val="24"/>
          <w:szCs w:val="24"/>
          <w:rtl/>
        </w:rPr>
        <w:t>کاهش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37.1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42.0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41.8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E66D5">
        <w:rPr>
          <w:rFonts w:ascii="Times New Roman" w:eastAsia="Times New Roman" w:hAnsi="Times New Roman" w:cs="B Nazanin" w:hint="cs"/>
          <w:sz w:val="24"/>
          <w:szCs w:val="24"/>
          <w:rtl/>
        </w:rPr>
        <w:t>24.1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6516085F" w:rsidR="00FA1D42" w:rsidRPr="00AB1F68" w:rsidRDefault="00D32554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677D4516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F6EFE">
        <w:rPr>
          <w:rFonts w:ascii="Times New Roman" w:eastAsia="Times New Roman" w:hAnsi="Times New Roman" w:cs="B Nazanin"/>
          <w:sz w:val="24"/>
          <w:szCs w:val="24"/>
        </w:rPr>
        <w:t>15.2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5F6EFE">
        <w:rPr>
          <w:rFonts w:ascii="Times New Roman" w:eastAsia="Times New Roman" w:hAnsi="Times New Roman" w:cs="B Nazanin"/>
          <w:sz w:val="24"/>
          <w:szCs w:val="24"/>
        </w:rPr>
        <w:t>14.6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5F6EFE">
        <w:rPr>
          <w:rFonts w:ascii="Times New Roman" w:eastAsia="Times New Roman" w:hAnsi="Times New Roman" w:cs="B Nazanin"/>
          <w:sz w:val="24"/>
          <w:szCs w:val="24"/>
        </w:rPr>
        <w:t>0.6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D253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5F6EFE">
        <w:rPr>
          <w:rFonts w:ascii="Times New Roman" w:eastAsia="Times New Roman" w:hAnsi="Times New Roman" w:cs="B Nazanin"/>
          <w:sz w:val="24"/>
          <w:szCs w:val="24"/>
        </w:rPr>
        <w:t>15.2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6354">
        <w:rPr>
          <w:rFonts w:ascii="Times New Roman" w:eastAsia="Times New Roman" w:hAnsi="Times New Roman" w:cs="B Nazanin" w:hint="cs"/>
          <w:sz w:val="24"/>
          <w:szCs w:val="24"/>
          <w:rtl/>
        </w:rPr>
        <w:t>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5F6EFE">
        <w:rPr>
          <w:rFonts w:ascii="Times New Roman" w:eastAsia="Times New Roman" w:hAnsi="Times New Roman" w:cs="B Nazanin"/>
          <w:sz w:val="24"/>
          <w:szCs w:val="24"/>
        </w:rPr>
        <w:t>12.9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5F6EFE">
        <w:rPr>
          <w:rFonts w:ascii="Times New Roman" w:eastAsia="Times New Roman" w:hAnsi="Times New Roman" w:cs="B Nazanin"/>
          <w:sz w:val="24"/>
          <w:szCs w:val="24"/>
        </w:rPr>
        <w:t>14.4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5F6EFE">
        <w:rPr>
          <w:rFonts w:ascii="Times New Roman" w:eastAsia="Times New Roman" w:hAnsi="Times New Roman" w:cs="B Nazanin"/>
          <w:sz w:val="24"/>
          <w:szCs w:val="24"/>
        </w:rPr>
        <w:t>18.5</w:t>
      </w:r>
      <w:r w:rsidR="002E635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1D5D90E2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96635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دی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4AE44128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9A22C6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دی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53F27190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آ</w:t>
            </w:r>
            <w:r w:rsidR="00966354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ذر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DB1FAC" w:rsidRPr="00C01268" w14:paraId="0D68E067" w14:textId="77777777" w:rsidTr="00DB1FAC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DB1FAC" w:rsidRPr="00C01268" w:rsidRDefault="00DB1FAC" w:rsidP="00DB1FA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66F0A34F" w:rsidR="00DB1FAC" w:rsidRPr="00674A22" w:rsidRDefault="00DB1FAC" w:rsidP="00DB1FAC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0DB9AD10" w:rsidR="00DB1FAC" w:rsidRPr="00674A22" w:rsidRDefault="00DB1FAC" w:rsidP="00DB1FAC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0720">
              <w:rPr>
                <w:rFonts w:cs="B Nazanin"/>
                <w:b/>
                <w:bCs/>
                <w:i/>
                <w:iCs/>
              </w:rPr>
              <w:t>431.1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0D24C0E3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/>
                <w:b/>
                <w:bCs/>
                <w:i/>
                <w:iCs/>
              </w:rPr>
              <w:t>-6.2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6FD0BAFF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/>
                <w:b/>
                <w:bCs/>
                <w:i/>
                <w:iCs/>
              </w:rPr>
              <w:t>37.1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1330D717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DB1FAC">
              <w:rPr>
                <w:rFonts w:cs="B Nazanin" w:hint="cs"/>
                <w:b/>
                <w:bCs/>
                <w:i/>
                <w:iCs/>
              </w:rPr>
              <w:t>15.2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286F19C2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30.6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193749B6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48.6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7CF4D2FD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14.6</w:t>
            </w:r>
          </w:p>
        </w:tc>
      </w:tr>
      <w:tr w:rsidR="00DB1FAC" w:rsidRPr="00C01268" w14:paraId="6F89366A" w14:textId="77777777" w:rsidTr="00DB1FAC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DB1FAC" w:rsidRPr="00C01268" w:rsidRDefault="00DB1FAC" w:rsidP="00DB1FA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1DD50C35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28.40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396590E5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5A0720">
              <w:rPr>
                <w:rFonts w:cs="B Nazanin"/>
              </w:rPr>
              <w:t>448.1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1D4491D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-4.1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41D7483A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42.0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5E769EB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12.9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1530070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37.0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624EDD69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49.3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01ACD9D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11.8</w:t>
            </w:r>
          </w:p>
        </w:tc>
      </w:tr>
      <w:tr w:rsidR="00DB1FAC" w:rsidRPr="00C01268" w14:paraId="394B4E09" w14:textId="77777777" w:rsidTr="00DB1FAC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DB1FAC" w:rsidRPr="00C01268" w:rsidRDefault="00DB1FAC" w:rsidP="00DB1FA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15396B2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52.60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28EEF2B0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5A0720">
              <w:rPr>
                <w:rFonts w:cs="B Nazanin"/>
              </w:rPr>
              <w:t>457.8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07185F59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-4.3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006072CB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41.8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2C1BD520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14.4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11D34AD7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32.9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5B055A75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51.0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0CF5905D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13.4</w:t>
            </w:r>
          </w:p>
        </w:tc>
      </w:tr>
      <w:tr w:rsidR="00DB1FAC" w:rsidRPr="00F94E83" w14:paraId="4F3BD5E8" w14:textId="77777777" w:rsidTr="00DB1FAC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DB1FAC" w:rsidRPr="00C01268" w:rsidRDefault="00DB1FAC" w:rsidP="00DB1FA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61D9A567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74A22">
              <w:rPr>
                <w:rFonts w:cs="B Nazanin"/>
              </w:rPr>
              <w:t>19.00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52B45D23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5A0720">
              <w:rPr>
                <w:rFonts w:cs="B Nazanin"/>
              </w:rPr>
              <w:t>370.3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42848FA3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-11.9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6CE9F0A3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/>
              </w:rPr>
              <w:t>24.1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2721006A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DB1FAC">
              <w:rPr>
                <w:rFonts w:cs="B Nazanin" w:hint="cs"/>
              </w:rPr>
              <w:t>18.5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4E8D3499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22.1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0257B856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43.3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221BD2C3" w:rsidR="00DB1FAC" w:rsidRPr="00DB1FAC" w:rsidRDefault="00DB1FAC" w:rsidP="00DB1FAC">
            <w:pPr>
              <w:bidi/>
              <w:spacing w:after="0" w:line="240" w:lineRule="auto"/>
              <w:jc w:val="center"/>
              <w:rPr>
                <w:rFonts w:cs="B Nazanin"/>
              </w:rPr>
            </w:pPr>
            <w:r w:rsidRPr="00674A22">
              <w:rPr>
                <w:rFonts w:cs="B Nazanin"/>
              </w:rPr>
              <w:t>19.2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01099649" w:rsidR="007356D4" w:rsidRDefault="00793A38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871F502" w:rsidR="0018708A" w:rsidRPr="0018708A" w:rsidRDefault="005A0720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1A7AEF" wp14:editId="0E27B74E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382B715" w14:textId="6BA5887C" w:rsidR="0018708A" w:rsidRPr="0018708A" w:rsidRDefault="00793A38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6AC8BB2" wp14:editId="5BE939BB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D6A97" wp14:editId="1D58A602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02CC" w14:textId="77777777" w:rsidR="00793A38" w:rsidRDefault="00793A38" w:rsidP="00A520E9">
      <w:pPr>
        <w:spacing w:after="0" w:line="240" w:lineRule="auto"/>
      </w:pPr>
      <w:r>
        <w:separator/>
      </w:r>
    </w:p>
  </w:endnote>
  <w:endnote w:type="continuationSeparator" w:id="0">
    <w:p w14:paraId="3FC2159D" w14:textId="77777777" w:rsidR="00793A38" w:rsidRDefault="00793A38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2580" w14:textId="77777777" w:rsidR="00793A38" w:rsidRDefault="00793A38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2B3EED31" w14:textId="77777777" w:rsidR="00793A38" w:rsidRDefault="00793A38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4BC8"/>
    <w:rsid w:val="000D04ED"/>
    <w:rsid w:val="000D33C4"/>
    <w:rsid w:val="000D6DE0"/>
    <w:rsid w:val="000E17D2"/>
    <w:rsid w:val="000E4087"/>
    <w:rsid w:val="000E7A29"/>
    <w:rsid w:val="000E7FBF"/>
    <w:rsid w:val="000F0FAA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E66D5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415B"/>
    <w:rsid w:val="003366DC"/>
    <w:rsid w:val="00337037"/>
    <w:rsid w:val="00337D63"/>
    <w:rsid w:val="00340222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13518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441D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481A"/>
    <w:rsid w:val="00556B43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0720"/>
    <w:rsid w:val="005A4CED"/>
    <w:rsid w:val="005B14D2"/>
    <w:rsid w:val="005C2251"/>
    <w:rsid w:val="005C5BE9"/>
    <w:rsid w:val="005D0261"/>
    <w:rsid w:val="005E526B"/>
    <w:rsid w:val="005E680C"/>
    <w:rsid w:val="005E7C97"/>
    <w:rsid w:val="005F6EFE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A22"/>
    <w:rsid w:val="00674F54"/>
    <w:rsid w:val="006757D6"/>
    <w:rsid w:val="00676D9A"/>
    <w:rsid w:val="0068502F"/>
    <w:rsid w:val="00692CD5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3A38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15F53"/>
    <w:rsid w:val="0082384A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084"/>
    <w:rsid w:val="00882635"/>
    <w:rsid w:val="0088308E"/>
    <w:rsid w:val="008863A3"/>
    <w:rsid w:val="008A1303"/>
    <w:rsid w:val="008A3F96"/>
    <w:rsid w:val="008A5CC7"/>
    <w:rsid w:val="008A7BC1"/>
    <w:rsid w:val="008B36B5"/>
    <w:rsid w:val="008C2C64"/>
    <w:rsid w:val="008C4126"/>
    <w:rsid w:val="008E2D33"/>
    <w:rsid w:val="008E3C55"/>
    <w:rsid w:val="008E5FAE"/>
    <w:rsid w:val="008E7D52"/>
    <w:rsid w:val="008F6A34"/>
    <w:rsid w:val="008F77D8"/>
    <w:rsid w:val="009001D5"/>
    <w:rsid w:val="009007E5"/>
    <w:rsid w:val="00900AD1"/>
    <w:rsid w:val="0090125D"/>
    <w:rsid w:val="0090484D"/>
    <w:rsid w:val="00911A69"/>
    <w:rsid w:val="00920A54"/>
    <w:rsid w:val="00920B29"/>
    <w:rsid w:val="00923AC2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1081"/>
    <w:rsid w:val="009539F1"/>
    <w:rsid w:val="0095430D"/>
    <w:rsid w:val="00955035"/>
    <w:rsid w:val="00956569"/>
    <w:rsid w:val="00966354"/>
    <w:rsid w:val="00966882"/>
    <w:rsid w:val="009707A6"/>
    <w:rsid w:val="00981A28"/>
    <w:rsid w:val="009827F5"/>
    <w:rsid w:val="0098491A"/>
    <w:rsid w:val="00985EE7"/>
    <w:rsid w:val="00993236"/>
    <w:rsid w:val="009977DD"/>
    <w:rsid w:val="00997F22"/>
    <w:rsid w:val="009A22C6"/>
    <w:rsid w:val="009B5BF8"/>
    <w:rsid w:val="009C0A50"/>
    <w:rsid w:val="009C16E8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1DDE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441B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1DD9"/>
    <w:rsid w:val="00AE577E"/>
    <w:rsid w:val="00AE73CA"/>
    <w:rsid w:val="00AF631C"/>
    <w:rsid w:val="00AF77CA"/>
    <w:rsid w:val="00B00F1F"/>
    <w:rsid w:val="00B1223F"/>
    <w:rsid w:val="00B1254C"/>
    <w:rsid w:val="00B13AC6"/>
    <w:rsid w:val="00B2065A"/>
    <w:rsid w:val="00B22D74"/>
    <w:rsid w:val="00B25788"/>
    <w:rsid w:val="00B26524"/>
    <w:rsid w:val="00B36EB1"/>
    <w:rsid w:val="00B41E6D"/>
    <w:rsid w:val="00B423AE"/>
    <w:rsid w:val="00B4299D"/>
    <w:rsid w:val="00B439BB"/>
    <w:rsid w:val="00B541B4"/>
    <w:rsid w:val="00B54D6A"/>
    <w:rsid w:val="00B66F19"/>
    <w:rsid w:val="00B746EB"/>
    <w:rsid w:val="00B75B36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C7E32"/>
    <w:rsid w:val="00BD2DA5"/>
    <w:rsid w:val="00BD350E"/>
    <w:rsid w:val="00BD418A"/>
    <w:rsid w:val="00BE3FE0"/>
    <w:rsid w:val="00BE48A0"/>
    <w:rsid w:val="00BE6C1D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6C79"/>
    <w:rsid w:val="00CE1A22"/>
    <w:rsid w:val="00CE3563"/>
    <w:rsid w:val="00CE4DC8"/>
    <w:rsid w:val="00CF3108"/>
    <w:rsid w:val="00CF5812"/>
    <w:rsid w:val="00CF7D82"/>
    <w:rsid w:val="00D01432"/>
    <w:rsid w:val="00D0740B"/>
    <w:rsid w:val="00D10856"/>
    <w:rsid w:val="00D11B1B"/>
    <w:rsid w:val="00D21B74"/>
    <w:rsid w:val="00D22AD7"/>
    <w:rsid w:val="00D23D1B"/>
    <w:rsid w:val="00D253E5"/>
    <w:rsid w:val="00D30424"/>
    <w:rsid w:val="00D31F3E"/>
    <w:rsid w:val="00D32554"/>
    <w:rsid w:val="00D35F76"/>
    <w:rsid w:val="00D36476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955C6"/>
    <w:rsid w:val="00D96268"/>
    <w:rsid w:val="00DA2014"/>
    <w:rsid w:val="00DB1FAC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940AD"/>
    <w:rsid w:val="00EA23AB"/>
    <w:rsid w:val="00EB7362"/>
    <w:rsid w:val="00EC1B26"/>
    <w:rsid w:val="00EC73DC"/>
    <w:rsid w:val="00EC7DA6"/>
    <w:rsid w:val="00ED13A6"/>
    <w:rsid w:val="00ED2079"/>
    <w:rsid w:val="00ED6DFB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91950768702"/>
          <c:y val="3.955327056678473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08851871448E-2"/>
          <c:y val="0.20273106685531833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-6.2378211826116479</c:v>
                </c:pt>
                <c:pt idx="1">
                  <c:v>-4.0600324322861976</c:v>
                </c:pt>
                <c:pt idx="2">
                  <c:v>-4.3329673311746113</c:v>
                </c:pt>
                <c:pt idx="3">
                  <c:v>-11.874917046602153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30.6</c:v>
                </c:pt>
                <c:pt idx="1">
                  <c:v>37</c:v>
                </c:pt>
                <c:pt idx="2">
                  <c:v>32.9</c:v>
                </c:pt>
                <c:pt idx="3">
                  <c:v>22.1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high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37.090608501913003</c:v>
                </c:pt>
                <c:pt idx="1">
                  <c:v>42.004575531559361</c:v>
                </c:pt>
                <c:pt idx="2">
                  <c:v>41.814383882662852</c:v>
                </c:pt>
                <c:pt idx="3">
                  <c:v>24.144087267604462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48.6</c:v>
                </c:pt>
                <c:pt idx="1">
                  <c:v>49.3</c:v>
                </c:pt>
                <c:pt idx="2">
                  <c:v>51</c:v>
                </c:pt>
                <c:pt idx="3">
                  <c:v>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دی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15.18669912001811</c:v>
                </c:pt>
                <c:pt idx="1">
                  <c:v>12.868071891597713</c:v>
                </c:pt>
                <c:pt idx="2">
                  <c:v>14.352144126724358</c:v>
                </c:pt>
                <c:pt idx="3">
                  <c:v>18.514852766115808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14.6</c:v>
                </c:pt>
                <c:pt idx="1">
                  <c:v>11.8</c:v>
                </c:pt>
                <c:pt idx="2">
                  <c:v>13.4</c:v>
                </c:pt>
                <c:pt idx="3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2025-01-20T06:25:00Z</cp:lastPrinted>
  <dcterms:created xsi:type="dcterms:W3CDTF">2022-08-06T07:53:00Z</dcterms:created>
  <dcterms:modified xsi:type="dcterms:W3CDTF">2025-02-09T11:00:00Z</dcterms:modified>
</cp:coreProperties>
</file>