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192" behindDoc="1" locked="0" layoutInCell="1" allowOverlap="1" wp14:anchorId="454638B9" wp14:editId="68155653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30C7778D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5D02C8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اسفند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4C17794A" w:rsidR="00FA1D42" w:rsidRPr="003C6401" w:rsidRDefault="00FA1D42" w:rsidP="00BC7E3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 شاخص قیمت تولیدکننده بخش برق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42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27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3253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253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87458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06704F06" w:rsidR="00FA1D42" w:rsidRPr="00AB1F68" w:rsidRDefault="00CD1D23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4C779108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8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CD1D23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BE6C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0.7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3629D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134F0A48" w:rsidR="00FA1D42" w:rsidRPr="00AB1F68" w:rsidRDefault="00A11DDE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0DD2BC45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27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31.9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.2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413518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27.7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35.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F0B6F">
        <w:rPr>
          <w:rFonts w:ascii="Times New Roman" w:eastAsia="Times New Roman" w:hAnsi="Times New Roman" w:cs="B Nazanin"/>
          <w:sz w:val="24"/>
          <w:szCs w:val="24"/>
        </w:rPr>
        <w:t>1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.6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20CAD9FE" w:rsidR="00FA1D42" w:rsidRPr="00AB1F68" w:rsidRDefault="00D86468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55B037BB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14.5</w:t>
      </w:r>
      <w:r w:rsidR="005234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D86468">
        <w:rPr>
          <w:rFonts w:ascii="Times New Roman" w:eastAsia="Times New Roman" w:hAnsi="Times New Roman" w:cs="B Nazanin"/>
          <w:sz w:val="24"/>
          <w:szCs w:val="24"/>
        </w:rPr>
        <w:t>15.</w:t>
      </w:r>
      <w:r w:rsidR="008B5A0C">
        <w:rPr>
          <w:rFonts w:ascii="Times New Roman" w:eastAsia="Times New Roman" w:hAnsi="Times New Roman" w:cs="B Nazanin"/>
          <w:sz w:val="24"/>
          <w:szCs w:val="24"/>
        </w:rPr>
        <w:t>1</w:t>
      </w:r>
      <w:r w:rsidR="00B423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0.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14.5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02C8">
        <w:rPr>
          <w:rFonts w:ascii="Times New Roman" w:eastAsia="Times New Roman" w:hAnsi="Times New Roman" w:cs="B Nazanin" w:hint="cs"/>
          <w:sz w:val="24"/>
          <w:szCs w:val="24"/>
          <w:rtl/>
        </w:rPr>
        <w:t>اسفند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15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4F038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0EBABB3A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D02C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اسفند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122B5F5C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5D02C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اسفند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1A17A792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8B5A0C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بهمن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493BE0" w:rsidRPr="00C01268" w14:paraId="0D68E067" w14:textId="77777777" w:rsidTr="00E1686E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493BE0" w:rsidRPr="00C01268" w:rsidRDefault="00493BE0" w:rsidP="00493BE0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66F0A34F" w:rsidR="00493BE0" w:rsidRPr="00674A22" w:rsidRDefault="00493BE0" w:rsidP="00493BE0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100.00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32B34178" w:rsidR="00493BE0" w:rsidRPr="00995778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995778">
              <w:rPr>
                <w:rFonts w:ascii="Arial" w:hAnsi="Arial" w:cs="B Nazanin" w:hint="cs"/>
                <w:b/>
                <w:bCs/>
                <w:i/>
                <w:iCs/>
                <w:color w:val="000000"/>
              </w:rPr>
              <w:t>420.0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1CB347AB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493BE0">
              <w:rPr>
                <w:rFonts w:cs="B Nazanin"/>
                <w:b/>
                <w:bCs/>
                <w:i/>
                <w:iCs/>
              </w:rPr>
              <w:t>-1.7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12C0F2C9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493BE0">
              <w:rPr>
                <w:rFonts w:cs="B Nazanin"/>
                <w:b/>
                <w:bCs/>
                <w:i/>
                <w:iCs/>
              </w:rPr>
              <w:t>27.7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56A8C64E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493BE0">
              <w:rPr>
                <w:rFonts w:cs="B Nazanin"/>
                <w:b/>
                <w:bCs/>
                <w:i/>
                <w:iCs/>
              </w:rPr>
              <w:t>14.5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058DE549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E1686E">
              <w:rPr>
                <w:rFonts w:cs="B Nazanin"/>
                <w:b/>
                <w:bCs/>
                <w:i/>
                <w:iCs/>
              </w:rPr>
              <w:t>-0.9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6CBA6039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>
              <w:rPr>
                <w:rFonts w:ascii="Arial" w:hAnsi="Arial" w:cs="B Nazanin" w:hint="cs"/>
                <w:b/>
                <w:bCs/>
                <w:i/>
                <w:iCs/>
                <w:sz w:val="20"/>
                <w:szCs w:val="20"/>
              </w:rPr>
              <w:t>31.9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39025D6E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>
              <w:rPr>
                <w:rFonts w:ascii="Arial" w:hAnsi="Arial" w:cs="B Nazanin" w:hint="cs"/>
                <w:b/>
                <w:bCs/>
                <w:i/>
                <w:iCs/>
                <w:sz w:val="20"/>
                <w:szCs w:val="20"/>
              </w:rPr>
              <w:t>15.1</w:t>
            </w:r>
          </w:p>
        </w:tc>
      </w:tr>
      <w:tr w:rsidR="00493BE0" w:rsidRPr="00C01268" w14:paraId="6F89366A" w14:textId="77777777" w:rsidTr="00E1686E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493BE0" w:rsidRPr="00C01268" w:rsidRDefault="00493BE0" w:rsidP="00493BE0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1DD50C35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28.40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2B037C85" w:rsidR="00493BE0" w:rsidRPr="00E1686E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color w:val="000000"/>
              </w:rPr>
              <w:t>454.1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08B4810C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0.7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0D6FB7EB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41.3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7941A474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14.4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33AD9361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0.7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68A42888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40.8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1CAB7C22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13.7</w:t>
            </w:r>
          </w:p>
        </w:tc>
      </w:tr>
      <w:tr w:rsidR="00493BE0" w:rsidRPr="00C01268" w14:paraId="394B4E09" w14:textId="77777777" w:rsidTr="00E1686E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493BE0" w:rsidRPr="00C01268" w:rsidRDefault="00493BE0" w:rsidP="00493BE0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15396B2B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52.60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2C283FEB" w:rsidR="00493BE0" w:rsidRPr="00E1686E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color w:val="000000"/>
              </w:rPr>
              <w:t>436.7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6DBD155C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-3.0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284B45B2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35.3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7B1FE43D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15.0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83892C" w14:textId="35C1F404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-1.6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3246EF" w14:textId="60066F17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35.6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81284" w14:textId="52F17FB2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14.6</w:t>
            </w:r>
          </w:p>
        </w:tc>
      </w:tr>
      <w:tr w:rsidR="00493BE0" w:rsidRPr="00F94E83" w14:paraId="4F3BD5E8" w14:textId="77777777" w:rsidTr="00E1686E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493BE0" w:rsidRPr="00C01268" w:rsidRDefault="00493BE0" w:rsidP="00493BE0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61D9A567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19.00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7D22BBD8" w:rsidR="00493BE0" w:rsidRPr="00E1686E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color w:val="000000"/>
              </w:rPr>
              <w:t>366.2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5A44D287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-0.7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037323AE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6.1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0B582217" w:rsidR="00493BE0" w:rsidRPr="00493BE0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13.5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02498555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E1686E">
              <w:rPr>
                <w:rFonts w:cs="B Nazanin"/>
              </w:rPr>
              <w:t>-0.4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06EB5CDC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18.6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16CCA13D" w:rsidR="00493BE0" w:rsidRPr="00DB1FAC" w:rsidRDefault="00493BE0" w:rsidP="00493BE0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</w:rPr>
              <w:t>17.0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01099649" w:rsidR="007356D4" w:rsidRDefault="00721A86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871F502" w:rsidR="0018708A" w:rsidRPr="0018708A" w:rsidRDefault="005A0720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1A7AEF" wp14:editId="2EAAF70A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382B715" w14:textId="6BA5887C" w:rsidR="0018708A" w:rsidRPr="0018708A" w:rsidRDefault="00721A86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6AC8BB2" wp14:editId="32AFBF55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D6A97" wp14:editId="4C89DB96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BDB4" w14:textId="77777777" w:rsidR="00721A86" w:rsidRDefault="00721A86" w:rsidP="00A520E9">
      <w:pPr>
        <w:spacing w:after="0" w:line="240" w:lineRule="auto"/>
      </w:pPr>
      <w:r>
        <w:separator/>
      </w:r>
    </w:p>
  </w:endnote>
  <w:endnote w:type="continuationSeparator" w:id="0">
    <w:p w14:paraId="2BD0CDF0" w14:textId="77777777" w:rsidR="00721A86" w:rsidRDefault="00721A86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0495" w14:textId="77777777" w:rsidR="00721A86" w:rsidRDefault="00721A86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4F47121D" w14:textId="77777777" w:rsidR="00721A86" w:rsidRDefault="00721A86" w:rsidP="00A520E9">
      <w:pPr>
        <w:spacing w:after="0" w:line="240" w:lineRule="auto"/>
      </w:pPr>
      <w:r>
        <w:continuationSeparator/>
      </w:r>
    </w:p>
  </w:footnote>
  <w:footnote w:id="1">
    <w:p w14:paraId="2B98DF46" w14:textId="707D9BF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</w:t>
      </w:r>
      <w:r w:rsidR="005D02C8">
        <w:rPr>
          <w:rFonts w:cs="Arial" w:hint="cs"/>
          <w:rtl/>
        </w:rPr>
        <w:t>دی</w:t>
      </w:r>
      <w:r w:rsidRPr="00904857">
        <w:rPr>
          <w:rFonts w:cs="Arial" w:hint="cs"/>
          <w:rtl/>
        </w:rPr>
        <w:t>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24AD8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77F4A"/>
    <w:rsid w:val="00084DC4"/>
    <w:rsid w:val="00091430"/>
    <w:rsid w:val="00091543"/>
    <w:rsid w:val="00091CAC"/>
    <w:rsid w:val="000A0CA4"/>
    <w:rsid w:val="000A13C3"/>
    <w:rsid w:val="000A1E07"/>
    <w:rsid w:val="000A229C"/>
    <w:rsid w:val="000A5894"/>
    <w:rsid w:val="000B246E"/>
    <w:rsid w:val="000C21D0"/>
    <w:rsid w:val="000C4BC8"/>
    <w:rsid w:val="000D04ED"/>
    <w:rsid w:val="000D33C4"/>
    <w:rsid w:val="000D6DE0"/>
    <w:rsid w:val="000E17D2"/>
    <w:rsid w:val="000E4087"/>
    <w:rsid w:val="000E7A29"/>
    <w:rsid w:val="000E7FBF"/>
    <w:rsid w:val="000F0FAA"/>
    <w:rsid w:val="000F1004"/>
    <w:rsid w:val="000F5879"/>
    <w:rsid w:val="000F5E1C"/>
    <w:rsid w:val="000F5FED"/>
    <w:rsid w:val="00103BBA"/>
    <w:rsid w:val="0011061A"/>
    <w:rsid w:val="0011105C"/>
    <w:rsid w:val="00122D33"/>
    <w:rsid w:val="00123968"/>
    <w:rsid w:val="00132464"/>
    <w:rsid w:val="001360E9"/>
    <w:rsid w:val="00136564"/>
    <w:rsid w:val="00137731"/>
    <w:rsid w:val="00157539"/>
    <w:rsid w:val="001601EC"/>
    <w:rsid w:val="00160808"/>
    <w:rsid w:val="00162EAB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D7FB8"/>
    <w:rsid w:val="001E2D1B"/>
    <w:rsid w:val="001E66D5"/>
    <w:rsid w:val="001F56CD"/>
    <w:rsid w:val="001F57AF"/>
    <w:rsid w:val="0020068B"/>
    <w:rsid w:val="002041AF"/>
    <w:rsid w:val="00205FC4"/>
    <w:rsid w:val="002160A3"/>
    <w:rsid w:val="00217F23"/>
    <w:rsid w:val="00220905"/>
    <w:rsid w:val="00224F31"/>
    <w:rsid w:val="00230312"/>
    <w:rsid w:val="00235AD5"/>
    <w:rsid w:val="00235B9F"/>
    <w:rsid w:val="0023629D"/>
    <w:rsid w:val="00237ED9"/>
    <w:rsid w:val="00241398"/>
    <w:rsid w:val="00251454"/>
    <w:rsid w:val="00251F0D"/>
    <w:rsid w:val="002537E0"/>
    <w:rsid w:val="00257453"/>
    <w:rsid w:val="00260F1A"/>
    <w:rsid w:val="00265F12"/>
    <w:rsid w:val="00273FA7"/>
    <w:rsid w:val="00276369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717"/>
    <w:rsid w:val="002B5B1E"/>
    <w:rsid w:val="002C2B2B"/>
    <w:rsid w:val="002C7E0C"/>
    <w:rsid w:val="002E635C"/>
    <w:rsid w:val="002F1DA4"/>
    <w:rsid w:val="002F39CD"/>
    <w:rsid w:val="002F4D60"/>
    <w:rsid w:val="00304753"/>
    <w:rsid w:val="00312EC2"/>
    <w:rsid w:val="00315740"/>
    <w:rsid w:val="00322396"/>
    <w:rsid w:val="003239D8"/>
    <w:rsid w:val="00325352"/>
    <w:rsid w:val="00332205"/>
    <w:rsid w:val="0033415B"/>
    <w:rsid w:val="003366DC"/>
    <w:rsid w:val="00337037"/>
    <w:rsid w:val="00337D63"/>
    <w:rsid w:val="00340222"/>
    <w:rsid w:val="00344585"/>
    <w:rsid w:val="00344E2D"/>
    <w:rsid w:val="00345460"/>
    <w:rsid w:val="00346249"/>
    <w:rsid w:val="0035411F"/>
    <w:rsid w:val="00355C06"/>
    <w:rsid w:val="00362802"/>
    <w:rsid w:val="0036433D"/>
    <w:rsid w:val="003679E8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13518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3863"/>
    <w:rsid w:val="00463F20"/>
    <w:rsid w:val="00464987"/>
    <w:rsid w:val="00471D02"/>
    <w:rsid w:val="00471D10"/>
    <w:rsid w:val="00472F63"/>
    <w:rsid w:val="00474112"/>
    <w:rsid w:val="00474B91"/>
    <w:rsid w:val="00475CE0"/>
    <w:rsid w:val="00476B7C"/>
    <w:rsid w:val="00477119"/>
    <w:rsid w:val="00483DC7"/>
    <w:rsid w:val="00484A5E"/>
    <w:rsid w:val="00485192"/>
    <w:rsid w:val="00493BE0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0ECA"/>
    <w:rsid w:val="004D441D"/>
    <w:rsid w:val="004D6205"/>
    <w:rsid w:val="004D642D"/>
    <w:rsid w:val="004E0092"/>
    <w:rsid w:val="004E334A"/>
    <w:rsid w:val="004E435F"/>
    <w:rsid w:val="004F0380"/>
    <w:rsid w:val="004F0B97"/>
    <w:rsid w:val="004F3CC7"/>
    <w:rsid w:val="004F6C39"/>
    <w:rsid w:val="00501504"/>
    <w:rsid w:val="005071E0"/>
    <w:rsid w:val="00511F95"/>
    <w:rsid w:val="00517D1F"/>
    <w:rsid w:val="0052132F"/>
    <w:rsid w:val="00523488"/>
    <w:rsid w:val="005239F6"/>
    <w:rsid w:val="00537C9A"/>
    <w:rsid w:val="005431C4"/>
    <w:rsid w:val="00544ABA"/>
    <w:rsid w:val="00553F26"/>
    <w:rsid w:val="00554250"/>
    <w:rsid w:val="0055481A"/>
    <w:rsid w:val="00556B43"/>
    <w:rsid w:val="00562010"/>
    <w:rsid w:val="005638E8"/>
    <w:rsid w:val="005646A6"/>
    <w:rsid w:val="005659CB"/>
    <w:rsid w:val="00571C86"/>
    <w:rsid w:val="00573056"/>
    <w:rsid w:val="00575E68"/>
    <w:rsid w:val="005760D0"/>
    <w:rsid w:val="00576F45"/>
    <w:rsid w:val="005822C4"/>
    <w:rsid w:val="0058409A"/>
    <w:rsid w:val="0059116A"/>
    <w:rsid w:val="00593677"/>
    <w:rsid w:val="005A0720"/>
    <w:rsid w:val="005A4CED"/>
    <w:rsid w:val="005A71A9"/>
    <w:rsid w:val="005B14D2"/>
    <w:rsid w:val="005C2251"/>
    <w:rsid w:val="005C5BE9"/>
    <w:rsid w:val="005D0261"/>
    <w:rsid w:val="005D02C8"/>
    <w:rsid w:val="005E526B"/>
    <w:rsid w:val="005E680C"/>
    <w:rsid w:val="005E7C97"/>
    <w:rsid w:val="005F6EFE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4A22"/>
    <w:rsid w:val="00674F54"/>
    <w:rsid w:val="006757D6"/>
    <w:rsid w:val="00676D9A"/>
    <w:rsid w:val="0068502F"/>
    <w:rsid w:val="00692CD5"/>
    <w:rsid w:val="00695A1C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5914"/>
    <w:rsid w:val="006F0DD1"/>
    <w:rsid w:val="006F2CEC"/>
    <w:rsid w:val="006F7D93"/>
    <w:rsid w:val="00700AEC"/>
    <w:rsid w:val="007015E5"/>
    <w:rsid w:val="00717094"/>
    <w:rsid w:val="00717186"/>
    <w:rsid w:val="00721A86"/>
    <w:rsid w:val="00724A35"/>
    <w:rsid w:val="00726FB0"/>
    <w:rsid w:val="00730940"/>
    <w:rsid w:val="00731285"/>
    <w:rsid w:val="007331D2"/>
    <w:rsid w:val="00733867"/>
    <w:rsid w:val="0073520C"/>
    <w:rsid w:val="007356D4"/>
    <w:rsid w:val="0074159B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3A38"/>
    <w:rsid w:val="00794381"/>
    <w:rsid w:val="007958B0"/>
    <w:rsid w:val="00796828"/>
    <w:rsid w:val="007A383D"/>
    <w:rsid w:val="007B49A7"/>
    <w:rsid w:val="007C08B7"/>
    <w:rsid w:val="007C0A30"/>
    <w:rsid w:val="007C2702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0B6F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15F53"/>
    <w:rsid w:val="0082384A"/>
    <w:rsid w:val="0082409C"/>
    <w:rsid w:val="00826F9D"/>
    <w:rsid w:val="00833F9A"/>
    <w:rsid w:val="008375AD"/>
    <w:rsid w:val="0084669D"/>
    <w:rsid w:val="0085376D"/>
    <w:rsid w:val="008603F3"/>
    <w:rsid w:val="0086120F"/>
    <w:rsid w:val="00867822"/>
    <w:rsid w:val="008749A2"/>
    <w:rsid w:val="00881283"/>
    <w:rsid w:val="00882084"/>
    <w:rsid w:val="00882635"/>
    <w:rsid w:val="0088308E"/>
    <w:rsid w:val="008863A3"/>
    <w:rsid w:val="008A1303"/>
    <w:rsid w:val="008A3F96"/>
    <w:rsid w:val="008A5CC7"/>
    <w:rsid w:val="008A7BC1"/>
    <w:rsid w:val="008B36B5"/>
    <w:rsid w:val="008B5A0C"/>
    <w:rsid w:val="008C2C64"/>
    <w:rsid w:val="008C4126"/>
    <w:rsid w:val="008E2D33"/>
    <w:rsid w:val="008E3C55"/>
    <w:rsid w:val="008E5FAE"/>
    <w:rsid w:val="008E7D52"/>
    <w:rsid w:val="008F6A34"/>
    <w:rsid w:val="008F721E"/>
    <w:rsid w:val="008F77D8"/>
    <w:rsid w:val="009001D5"/>
    <w:rsid w:val="009007E5"/>
    <w:rsid w:val="00900AD1"/>
    <w:rsid w:val="0090125D"/>
    <w:rsid w:val="0090484D"/>
    <w:rsid w:val="00905B97"/>
    <w:rsid w:val="00911A69"/>
    <w:rsid w:val="00920A54"/>
    <w:rsid w:val="00920B29"/>
    <w:rsid w:val="00923AC2"/>
    <w:rsid w:val="009244DE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1081"/>
    <w:rsid w:val="009539F1"/>
    <w:rsid w:val="0095430D"/>
    <w:rsid w:val="00955035"/>
    <w:rsid w:val="00956569"/>
    <w:rsid w:val="00966354"/>
    <w:rsid w:val="00966882"/>
    <w:rsid w:val="009707A6"/>
    <w:rsid w:val="00981A28"/>
    <w:rsid w:val="009827F5"/>
    <w:rsid w:val="0098491A"/>
    <w:rsid w:val="00985EE7"/>
    <w:rsid w:val="00987788"/>
    <w:rsid w:val="00993236"/>
    <w:rsid w:val="00995778"/>
    <w:rsid w:val="009977DD"/>
    <w:rsid w:val="00997F22"/>
    <w:rsid w:val="009A22C6"/>
    <w:rsid w:val="009B5BF8"/>
    <w:rsid w:val="009C0A50"/>
    <w:rsid w:val="009C16E8"/>
    <w:rsid w:val="009D6952"/>
    <w:rsid w:val="009E5B2C"/>
    <w:rsid w:val="009E7C0E"/>
    <w:rsid w:val="009F4C0B"/>
    <w:rsid w:val="009F5409"/>
    <w:rsid w:val="00A01CBE"/>
    <w:rsid w:val="00A02D86"/>
    <w:rsid w:val="00A06033"/>
    <w:rsid w:val="00A06E2B"/>
    <w:rsid w:val="00A11DDE"/>
    <w:rsid w:val="00A1244A"/>
    <w:rsid w:val="00A21534"/>
    <w:rsid w:val="00A302A4"/>
    <w:rsid w:val="00A37A31"/>
    <w:rsid w:val="00A51F29"/>
    <w:rsid w:val="00A520E9"/>
    <w:rsid w:val="00A52609"/>
    <w:rsid w:val="00A528FF"/>
    <w:rsid w:val="00A62590"/>
    <w:rsid w:val="00A62B68"/>
    <w:rsid w:val="00A62FED"/>
    <w:rsid w:val="00A67F5C"/>
    <w:rsid w:val="00A7349A"/>
    <w:rsid w:val="00A736C8"/>
    <w:rsid w:val="00A7441B"/>
    <w:rsid w:val="00A7617D"/>
    <w:rsid w:val="00A77F28"/>
    <w:rsid w:val="00A80F49"/>
    <w:rsid w:val="00A91E21"/>
    <w:rsid w:val="00AA34B1"/>
    <w:rsid w:val="00AB1E44"/>
    <w:rsid w:val="00AB32AB"/>
    <w:rsid w:val="00AB60DB"/>
    <w:rsid w:val="00AB64BE"/>
    <w:rsid w:val="00AB7F72"/>
    <w:rsid w:val="00AC5311"/>
    <w:rsid w:val="00AC75A0"/>
    <w:rsid w:val="00AD78F9"/>
    <w:rsid w:val="00AE1DD9"/>
    <w:rsid w:val="00AE577E"/>
    <w:rsid w:val="00AE73CA"/>
    <w:rsid w:val="00AF631C"/>
    <w:rsid w:val="00AF77CA"/>
    <w:rsid w:val="00B00F1F"/>
    <w:rsid w:val="00B1223F"/>
    <w:rsid w:val="00B1254C"/>
    <w:rsid w:val="00B13AC6"/>
    <w:rsid w:val="00B2065A"/>
    <w:rsid w:val="00B22D74"/>
    <w:rsid w:val="00B25788"/>
    <w:rsid w:val="00B26524"/>
    <w:rsid w:val="00B36EB1"/>
    <w:rsid w:val="00B41E6D"/>
    <w:rsid w:val="00B423AE"/>
    <w:rsid w:val="00B4299D"/>
    <w:rsid w:val="00B439BB"/>
    <w:rsid w:val="00B541B4"/>
    <w:rsid w:val="00B54D6A"/>
    <w:rsid w:val="00B66F19"/>
    <w:rsid w:val="00B746EB"/>
    <w:rsid w:val="00B75B36"/>
    <w:rsid w:val="00B82DC1"/>
    <w:rsid w:val="00B83BBD"/>
    <w:rsid w:val="00B85BDC"/>
    <w:rsid w:val="00B93991"/>
    <w:rsid w:val="00B9485C"/>
    <w:rsid w:val="00B97D77"/>
    <w:rsid w:val="00BA1731"/>
    <w:rsid w:val="00BA1A52"/>
    <w:rsid w:val="00BA4D14"/>
    <w:rsid w:val="00BB2682"/>
    <w:rsid w:val="00BB6F7B"/>
    <w:rsid w:val="00BC1895"/>
    <w:rsid w:val="00BC7E32"/>
    <w:rsid w:val="00BD2DA5"/>
    <w:rsid w:val="00BD350E"/>
    <w:rsid w:val="00BD418A"/>
    <w:rsid w:val="00BE3FE0"/>
    <w:rsid w:val="00BE48A0"/>
    <w:rsid w:val="00BE6C1D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0CF7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C091A"/>
    <w:rsid w:val="00CC6C79"/>
    <w:rsid w:val="00CD1D23"/>
    <w:rsid w:val="00CE1A22"/>
    <w:rsid w:val="00CE3563"/>
    <w:rsid w:val="00CE4DC8"/>
    <w:rsid w:val="00CF3108"/>
    <w:rsid w:val="00CF5812"/>
    <w:rsid w:val="00CF7D82"/>
    <w:rsid w:val="00D01432"/>
    <w:rsid w:val="00D0740B"/>
    <w:rsid w:val="00D10856"/>
    <w:rsid w:val="00D11B1B"/>
    <w:rsid w:val="00D21B74"/>
    <w:rsid w:val="00D22AD7"/>
    <w:rsid w:val="00D23D1B"/>
    <w:rsid w:val="00D253E5"/>
    <w:rsid w:val="00D30424"/>
    <w:rsid w:val="00D31F3E"/>
    <w:rsid w:val="00D32554"/>
    <w:rsid w:val="00D35F76"/>
    <w:rsid w:val="00D36476"/>
    <w:rsid w:val="00D36963"/>
    <w:rsid w:val="00D429EE"/>
    <w:rsid w:val="00D44192"/>
    <w:rsid w:val="00D4475E"/>
    <w:rsid w:val="00D44E96"/>
    <w:rsid w:val="00D5231E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86468"/>
    <w:rsid w:val="00D955C6"/>
    <w:rsid w:val="00D96268"/>
    <w:rsid w:val="00DA2014"/>
    <w:rsid w:val="00DA7787"/>
    <w:rsid w:val="00DB1FAC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DF7727"/>
    <w:rsid w:val="00E0159A"/>
    <w:rsid w:val="00E04D1D"/>
    <w:rsid w:val="00E05BF7"/>
    <w:rsid w:val="00E06578"/>
    <w:rsid w:val="00E10F0E"/>
    <w:rsid w:val="00E15DB9"/>
    <w:rsid w:val="00E1686E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1F16"/>
    <w:rsid w:val="00E6253E"/>
    <w:rsid w:val="00E63BE5"/>
    <w:rsid w:val="00E72D49"/>
    <w:rsid w:val="00E72FD2"/>
    <w:rsid w:val="00E731FA"/>
    <w:rsid w:val="00E73982"/>
    <w:rsid w:val="00E73ED3"/>
    <w:rsid w:val="00E80832"/>
    <w:rsid w:val="00E83670"/>
    <w:rsid w:val="00E86618"/>
    <w:rsid w:val="00E87458"/>
    <w:rsid w:val="00E940AD"/>
    <w:rsid w:val="00EA23AB"/>
    <w:rsid w:val="00EB7362"/>
    <w:rsid w:val="00EC1B26"/>
    <w:rsid w:val="00EC73DC"/>
    <w:rsid w:val="00EC7DA6"/>
    <w:rsid w:val="00ED13A6"/>
    <w:rsid w:val="00ED2079"/>
    <w:rsid w:val="00ED6DFB"/>
    <w:rsid w:val="00EE03F3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7DD3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91950768702"/>
          <c:y val="3.955327056678473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08851871448E-2"/>
          <c:y val="0.20273106685531833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-1.7260024619370868</c:v>
                </c:pt>
                <c:pt idx="1">
                  <c:v>0.6647116060533339</c:v>
                </c:pt>
                <c:pt idx="2">
                  <c:v>-3.0324334683916949</c:v>
                </c:pt>
                <c:pt idx="3">
                  <c:v>-0.72306696793372438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-0.8596801733466034</c:v>
                </c:pt>
                <c:pt idx="1">
                  <c:v>0.67682181229729044</c:v>
                </c:pt>
                <c:pt idx="2">
                  <c:v>-1.6104744774227897</c:v>
                </c:pt>
                <c:pt idx="3">
                  <c:v>-0.3817125701043364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high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27.7</c:v>
                </c:pt>
                <c:pt idx="1">
                  <c:v>41.3</c:v>
                </c:pt>
                <c:pt idx="2">
                  <c:v>35.299999999999997</c:v>
                </c:pt>
                <c:pt idx="3">
                  <c:v>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31.9</c:v>
                </c:pt>
                <c:pt idx="1">
                  <c:v>40.799999999999997</c:v>
                </c:pt>
                <c:pt idx="2">
                  <c:v>35.6</c:v>
                </c:pt>
                <c:pt idx="3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14.5</c:v>
                </c:pt>
                <c:pt idx="1">
                  <c:v>14.4</c:v>
                </c:pt>
                <c:pt idx="2">
                  <c:v>15</c:v>
                </c:pt>
                <c:pt idx="3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بهمن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15.1</c:v>
                </c:pt>
                <c:pt idx="1">
                  <c:v>13.7</c:v>
                </c:pt>
                <c:pt idx="2">
                  <c:v>14.6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2025-04-16T12:35:00Z</cp:lastPrinted>
  <dcterms:created xsi:type="dcterms:W3CDTF">2022-08-06T07:53:00Z</dcterms:created>
  <dcterms:modified xsi:type="dcterms:W3CDTF">2025-04-19T06:31:00Z</dcterms:modified>
</cp:coreProperties>
</file>